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2443" w:right="2460" w:hanging="1"/>
        <w:jc w:val="center"/>
        <w:rPr>
          <w:b/>
          <w:sz w:val="24"/>
        </w:rPr>
      </w:pPr>
      <w:r>
        <w:rPr>
          <w:b/>
          <w:sz w:val="24"/>
        </w:rPr>
        <w:t>CITY OF CANNON FALLS GOODHUE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COUNTY,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MINNESOTA</w:t>
      </w:r>
    </w:p>
    <w:p>
      <w:pPr>
        <w:pStyle w:val="BodyText"/>
        <w:rPr>
          <w:b/>
        </w:rPr>
      </w:pPr>
    </w:p>
    <w:p>
      <w:pPr>
        <w:spacing w:before="0"/>
        <w:ind w:left="2907" w:right="2926" w:firstLine="0"/>
        <w:jc w:val="center"/>
        <w:rPr>
          <w:b/>
          <w:sz w:val="24"/>
        </w:rPr>
      </w:pPr>
      <w:r>
        <w:rPr>
          <w:b/>
          <w:sz w:val="24"/>
        </w:rPr>
        <w:t>ORDINANCE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11"/>
          <w:sz w:val="24"/>
        </w:rPr>
        <w:t> </w:t>
      </w:r>
      <w:r>
        <w:rPr>
          <w:b/>
          <w:spacing w:val="-5"/>
          <w:sz w:val="24"/>
        </w:rPr>
        <w:t>393</w:t>
      </w:r>
    </w:p>
    <w:p>
      <w:pPr>
        <w:pStyle w:val="BodyText"/>
        <w:rPr>
          <w:b/>
        </w:rPr>
      </w:pPr>
    </w:p>
    <w:p>
      <w:pPr>
        <w:spacing w:before="0"/>
        <w:ind w:left="146" w:right="167" w:firstLine="0"/>
        <w:jc w:val="center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INTERIM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ORDINANCE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ESTABLISHING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MORATORIUM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WITHIN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 CITY ON LAND USE AND SUBDIVISION APPLICATIONS FOR THE CONSTRUCTION AND DEVELOPMENT OF</w:t>
      </w:r>
    </w:p>
    <w:p>
      <w:pPr>
        <w:spacing w:before="0"/>
        <w:ind w:left="145" w:right="167" w:firstLine="0"/>
        <w:jc w:val="center"/>
        <w:rPr>
          <w:b/>
          <w:sz w:val="24"/>
        </w:rPr>
      </w:pPr>
      <w:r>
        <w:rPr>
          <w:b/>
          <w:sz w:val="24"/>
        </w:rPr>
        <w:t>RESIDENTIAL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TREATMENT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FACILITIES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820" w:right="1722" w:hanging="720"/>
      </w:pPr>
      <w:r>
        <w:rPr/>
        <w:t>THE</w:t>
      </w:r>
      <w:r>
        <w:rPr>
          <w:spacing w:val="-6"/>
        </w:rPr>
        <w:t> </w:t>
      </w:r>
      <w:r>
        <w:rPr/>
        <w:t>CITY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CANNON</w:t>
      </w:r>
      <w:r>
        <w:rPr>
          <w:spacing w:val="-6"/>
        </w:rPr>
        <w:t> </w:t>
      </w:r>
      <w:r>
        <w:rPr/>
        <w:t>FALLS</w:t>
      </w:r>
      <w:r>
        <w:rPr>
          <w:spacing w:val="-6"/>
        </w:rPr>
        <w:t> </w:t>
      </w:r>
      <w:r>
        <w:rPr/>
        <w:t>ORDAINS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FOLLOWS: SECTION 1. </w:t>
      </w:r>
      <w:r>
        <w:rPr>
          <w:u w:val="single"/>
        </w:rPr>
        <w:t>MORATORIUM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40" w:lineRule="auto" w:before="1" w:after="0"/>
        <w:ind w:left="1540" w:right="0" w:hanging="721"/>
        <w:jc w:val="left"/>
        <w:rPr>
          <w:sz w:val="24"/>
        </w:rPr>
      </w:pPr>
      <w:r>
        <w:rPr>
          <w:spacing w:val="-2"/>
          <w:sz w:val="24"/>
          <w:u w:val="single"/>
        </w:rPr>
        <w:t>Preamble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820"/>
      </w:pPr>
      <w:r>
        <w:rPr/>
        <w:t>The City of Cannon Falls (“City”) has become aware of regulatory issues and possible</w:t>
      </w:r>
      <w:r>
        <w:rPr>
          <w:spacing w:val="-4"/>
        </w:rPr>
        <w:t> </w:t>
      </w:r>
      <w:r>
        <w:rPr/>
        <w:t>shortcomings</w:t>
      </w:r>
      <w:r>
        <w:rPr>
          <w:spacing w:val="-4"/>
        </w:rPr>
        <w:t> </w:t>
      </w:r>
      <w:r>
        <w:rPr/>
        <w:t>within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City</w:t>
      </w:r>
      <w:r>
        <w:rPr>
          <w:spacing w:val="-4"/>
        </w:rPr>
        <w:t> </w:t>
      </w:r>
      <w:r>
        <w:rPr/>
        <w:t>Code</w:t>
      </w:r>
      <w:r>
        <w:rPr>
          <w:spacing w:val="-4"/>
        </w:rPr>
        <w:t> </w:t>
      </w:r>
      <w:r>
        <w:rPr/>
        <w:t>relating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provisions</w:t>
      </w:r>
      <w:r>
        <w:rPr>
          <w:spacing w:val="-4"/>
        </w:rPr>
        <w:t> </w:t>
      </w:r>
      <w:r>
        <w:rPr/>
        <w:t>governing construction and development of residential treatment facilities within the City.</w:t>
      </w:r>
    </w:p>
    <w:p>
      <w:pPr>
        <w:pStyle w:val="BodyText"/>
      </w:pPr>
    </w:p>
    <w:p>
      <w:pPr>
        <w:pStyle w:val="BodyText"/>
        <w:ind w:left="820"/>
      </w:pPr>
      <w:r>
        <w:rPr/>
        <w:t>The</w:t>
      </w:r>
      <w:r>
        <w:rPr>
          <w:spacing w:val="-5"/>
        </w:rPr>
        <w:t> </w:t>
      </w:r>
      <w:r>
        <w:rPr/>
        <w:t>City</w:t>
      </w:r>
      <w:r>
        <w:rPr>
          <w:spacing w:val="-2"/>
        </w:rPr>
        <w:t> </w:t>
      </w:r>
      <w:r>
        <w:rPr/>
        <w:t>Council</w:t>
      </w:r>
      <w:r>
        <w:rPr>
          <w:spacing w:val="-2"/>
        </w:rPr>
        <w:t> </w:t>
      </w:r>
      <w:r>
        <w:rPr/>
        <w:t>finds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5"/>
        </w:rPr>
        <w:t> </w:t>
      </w:r>
      <w:r>
        <w:rPr/>
        <w:t>time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study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consider</w:t>
      </w:r>
    </w:p>
    <w:p>
      <w:pPr>
        <w:pStyle w:val="BodyText"/>
        <w:ind w:left="820" w:right="149"/>
      </w:pPr>
      <w:r>
        <w:rPr/>
        <w:t>(1) the impact of residential treatment facilities on other uses and the public health, safety and welfare; (2) whether existing infrastructure and public services can accommodate additional residential treatment facilities within the City; (3) potential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/>
        <w:t>regulations</w:t>
      </w:r>
      <w:r>
        <w:rPr>
          <w:spacing w:val="-5"/>
        </w:rPr>
        <w:t> </w:t>
      </w:r>
      <w:r>
        <w:rPr/>
        <w:t>governing</w:t>
      </w:r>
      <w:r>
        <w:rPr>
          <w:spacing w:val="-5"/>
        </w:rPr>
        <w:t> </w:t>
      </w:r>
      <w:r>
        <w:rPr/>
        <w:t>residential</w:t>
      </w:r>
      <w:r>
        <w:rPr>
          <w:spacing w:val="-5"/>
        </w:rPr>
        <w:t> </w:t>
      </w:r>
      <w:r>
        <w:rPr/>
        <w:t>treatment</w:t>
      </w:r>
      <w:r>
        <w:rPr>
          <w:spacing w:val="-5"/>
        </w:rPr>
        <w:t> </w:t>
      </w:r>
      <w:r>
        <w:rPr/>
        <w:t>facilities</w:t>
      </w:r>
      <w:r>
        <w:rPr>
          <w:spacing w:val="-5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land use permits and other measures to insure compliance with state laws and protect the public health, safety and welfare of City residents; and (4) whether zoning ordinance changes and other regulations governing residential treatment facilities in the City may be required.</w:t>
      </w:r>
    </w:p>
    <w:p>
      <w:pPr>
        <w:pStyle w:val="BodyText"/>
        <w:spacing w:before="1"/>
      </w:pPr>
    </w:p>
    <w:p>
      <w:pPr>
        <w:pStyle w:val="BodyText"/>
        <w:ind w:left="820" w:right="149"/>
      </w:pPr>
      <w:r>
        <w:rPr/>
        <w:t>Upon</w:t>
      </w:r>
      <w:r>
        <w:rPr>
          <w:spacing w:val="-4"/>
        </w:rPr>
        <w:t> </w:t>
      </w:r>
      <w:r>
        <w:rPr/>
        <w:t>completion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foregoing</w:t>
      </w:r>
      <w:r>
        <w:rPr>
          <w:spacing w:val="-4"/>
        </w:rPr>
        <w:t> </w:t>
      </w:r>
      <w:r>
        <w:rPr/>
        <w:t>studies,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City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need and options for amendments to the City Code to regulate residential treatment </w:t>
      </w:r>
      <w:r>
        <w:rPr>
          <w:spacing w:val="-2"/>
        </w:rPr>
        <w:t>facilities.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21"/>
        <w:jc w:val="left"/>
        <w:rPr>
          <w:sz w:val="24"/>
        </w:rPr>
      </w:pPr>
      <w:r>
        <w:rPr>
          <w:sz w:val="24"/>
          <w:u w:val="single"/>
        </w:rPr>
        <w:t>Moratorium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Established;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Scope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90" w:after="0"/>
        <w:ind w:left="2261" w:right="170" w:hanging="721"/>
        <w:jc w:val="left"/>
        <w:rPr>
          <w:sz w:val="24"/>
        </w:rPr>
      </w:pPr>
      <w:r>
        <w:rPr>
          <w:sz w:val="24"/>
        </w:rPr>
        <w:t>In accordance with the above and pursuant to authority granted by Minn. Stat. § 462.355, subd. 4, the City hereby establishes a moratorium on the receipt, processing, or approval of land use applications and subdivision requests that propose to use any property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operate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residential</w:t>
      </w:r>
      <w:r>
        <w:rPr>
          <w:spacing w:val="-4"/>
          <w:sz w:val="24"/>
        </w:rPr>
        <w:t> </w:t>
      </w:r>
      <w:r>
        <w:rPr>
          <w:sz w:val="24"/>
        </w:rPr>
        <w:t>treatment</w:t>
      </w:r>
      <w:r>
        <w:rPr>
          <w:spacing w:val="-4"/>
          <w:sz w:val="24"/>
        </w:rPr>
        <w:t> </w:t>
      </w:r>
      <w:r>
        <w:rPr>
          <w:sz w:val="24"/>
        </w:rPr>
        <w:t>facility</w:t>
      </w:r>
      <w:r>
        <w:rPr>
          <w:spacing w:val="-2"/>
          <w:sz w:val="24"/>
        </w:rPr>
        <w:t> </w:t>
      </w:r>
      <w:r>
        <w:rPr>
          <w:sz w:val="24"/>
        </w:rPr>
        <w:t>while the study and implementation of potential regulations and zoning changes is ongoing.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1" w:right="166" w:hanging="721"/>
        <w:jc w:val="left"/>
        <w:rPr>
          <w:sz w:val="24"/>
        </w:rPr>
      </w:pPr>
      <w:r>
        <w:rPr>
          <w:sz w:val="24"/>
        </w:rPr>
        <w:t>For purposes of this moratorium, a “residential treatment facility” includes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facility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offers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provides</w:t>
      </w:r>
      <w:r>
        <w:rPr>
          <w:spacing w:val="-4"/>
          <w:sz w:val="24"/>
        </w:rPr>
        <w:t> </w:t>
      </w:r>
      <w:r>
        <w:rPr>
          <w:sz w:val="24"/>
        </w:rPr>
        <w:t>care,</w:t>
      </w:r>
      <w:r>
        <w:rPr>
          <w:spacing w:val="-4"/>
          <w:sz w:val="24"/>
        </w:rPr>
        <w:t> </w:t>
      </w:r>
      <w:r>
        <w:rPr>
          <w:sz w:val="24"/>
        </w:rPr>
        <w:t>treatment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other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60" w:bottom="280" w:left="1700" w:right="1680"/>
        </w:sectPr>
      </w:pPr>
    </w:p>
    <w:p>
      <w:pPr>
        <w:pStyle w:val="BodyText"/>
        <w:spacing w:before="79"/>
        <w:ind w:left="2261" w:right="149"/>
      </w:pPr>
      <w:r>
        <w:rPr/>
        <w:t>services for substance use disorders, mental illness, or other behavioral issues, regardless of how patients pay for such services or</w:t>
      </w:r>
      <w:r>
        <w:rPr>
          <w:spacing w:val="-5"/>
        </w:rPr>
        <w:t> </w:t>
      </w:r>
      <w:r>
        <w:rPr/>
        <w:t>whether</w:t>
      </w:r>
      <w:r>
        <w:rPr>
          <w:spacing w:val="-6"/>
        </w:rPr>
        <w:t> </w:t>
      </w:r>
      <w:r>
        <w:rPr/>
        <w:t>such</w:t>
      </w:r>
      <w:r>
        <w:rPr>
          <w:spacing w:val="-4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are</w:t>
      </w:r>
      <w:r>
        <w:rPr>
          <w:spacing w:val="-6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outpatient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inpatient </w:t>
      </w:r>
      <w:r>
        <w:rPr>
          <w:spacing w:val="-2"/>
        </w:rPr>
        <w:t>basis.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21"/>
        <w:jc w:val="left"/>
        <w:rPr>
          <w:sz w:val="24"/>
        </w:rPr>
      </w:pPr>
      <w:r>
        <w:rPr>
          <w:spacing w:val="-2"/>
          <w:sz w:val="24"/>
          <w:u w:val="single"/>
        </w:rPr>
        <w:t>Enforcement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820" w:right="149"/>
      </w:pPr>
      <w:r>
        <w:rPr/>
        <w:t>Any</w:t>
      </w:r>
      <w:r>
        <w:rPr>
          <w:spacing w:val="-3"/>
        </w:rPr>
        <w:t> </w:t>
      </w:r>
      <w:r>
        <w:rPr/>
        <w:t>person,</w:t>
      </w:r>
      <w:r>
        <w:rPr>
          <w:spacing w:val="-3"/>
        </w:rPr>
        <w:t> </w:t>
      </w:r>
      <w:r>
        <w:rPr/>
        <w:t>corporation,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entity</w:t>
      </w:r>
      <w:r>
        <w:rPr>
          <w:spacing w:val="-3"/>
        </w:rPr>
        <w:t> </w:t>
      </w:r>
      <w:r>
        <w:rPr/>
        <w:t>found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violation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Ordinance shall be guilty of a misdemeanor. The City may enforce this Ordinance by mandamus, injunction, or other appropriate criminal or civil remedy in any court of competent jurisdiction.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40" w:lineRule="auto" w:before="1" w:after="0"/>
        <w:ind w:left="1540" w:right="0" w:hanging="721"/>
        <w:jc w:val="left"/>
        <w:rPr>
          <w:sz w:val="24"/>
        </w:rPr>
      </w:pPr>
      <w:r>
        <w:rPr>
          <w:spacing w:val="-4"/>
          <w:sz w:val="24"/>
          <w:u w:val="single"/>
        </w:rPr>
        <w:t>Term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093" w:val="left" w:leader="none"/>
        </w:tabs>
        <w:spacing w:before="90"/>
        <w:ind w:left="820" w:right="142"/>
      </w:pPr>
      <w:r>
        <w:rPr/>
        <w:t>Unless</w:t>
      </w:r>
      <w:r>
        <w:rPr>
          <w:spacing w:val="-3"/>
        </w:rPr>
        <w:t> </w:t>
      </w:r>
      <w:r>
        <w:rPr/>
        <w:t>earlier</w:t>
      </w:r>
      <w:r>
        <w:rPr>
          <w:spacing w:val="-3"/>
        </w:rPr>
        <w:t> </w:t>
      </w:r>
      <w:r>
        <w:rPr/>
        <w:t>rescinded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City</w:t>
      </w:r>
      <w:r>
        <w:rPr>
          <w:spacing w:val="-3"/>
        </w:rPr>
        <w:t> </w:t>
      </w:r>
      <w:r>
        <w:rPr/>
        <w:t>Council,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moratorium</w:t>
      </w:r>
      <w:r>
        <w:rPr>
          <w:spacing w:val="-3"/>
        </w:rPr>
        <w:t> </w:t>
      </w:r>
      <w:r>
        <w:rPr/>
        <w:t>established by this Ordinance shall remain in full force and effect until </w:t>
      </w:r>
      <w:r>
        <w:rPr>
          <w:u w:val="single"/>
        </w:rPr>
        <w:tab/>
      </w:r>
      <w:r>
        <w:rPr/>
        <w:t>. The moratorium may be extended as provided in Minn. Stat. § 462.355, subd. 4(d).</w:t>
      </w:r>
    </w:p>
    <w:p>
      <w:pPr>
        <w:pStyle w:val="BodyText"/>
      </w:pPr>
    </w:p>
    <w:p>
      <w:pPr>
        <w:pStyle w:val="BodyText"/>
        <w:ind w:left="820"/>
      </w:pPr>
      <w:r>
        <w:rPr/>
        <w:t>SECTION</w:t>
      </w:r>
      <w:r>
        <w:rPr>
          <w:spacing w:val="-7"/>
        </w:rPr>
        <w:t> </w:t>
      </w:r>
      <w:r>
        <w:rPr/>
        <w:t>2.</w:t>
      </w:r>
      <w:r>
        <w:rPr>
          <w:spacing w:val="53"/>
        </w:rPr>
        <w:t> </w:t>
      </w:r>
      <w:r>
        <w:rPr>
          <w:u w:val="single"/>
        </w:rPr>
        <w:t>EFFECTIVE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DATE</w:t>
      </w:r>
      <w:r>
        <w:rPr>
          <w:spacing w:val="-4"/>
        </w:rPr>
        <w:t>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820"/>
      </w:pPr>
      <w:r>
        <w:rPr/>
        <w:t>This</w:t>
      </w:r>
      <w:r>
        <w:rPr>
          <w:spacing w:val="-7"/>
        </w:rPr>
        <w:t> </w:t>
      </w:r>
      <w:r>
        <w:rPr/>
        <w:t>ordinance</w:t>
      </w:r>
      <w:r>
        <w:rPr>
          <w:spacing w:val="-7"/>
        </w:rPr>
        <w:t> </w:t>
      </w:r>
      <w:r>
        <w:rPr/>
        <w:t>shall</w:t>
      </w:r>
      <w:r>
        <w:rPr>
          <w:spacing w:val="-6"/>
        </w:rPr>
        <w:t> </w:t>
      </w:r>
      <w:r>
        <w:rPr/>
        <w:t>become</w:t>
      </w:r>
      <w:r>
        <w:rPr>
          <w:spacing w:val="-6"/>
        </w:rPr>
        <w:t> </w:t>
      </w:r>
      <w:r>
        <w:rPr/>
        <w:t>effective</w:t>
      </w:r>
      <w:r>
        <w:rPr>
          <w:spacing w:val="-7"/>
        </w:rPr>
        <w:t> </w:t>
      </w:r>
      <w:r>
        <w:rPr/>
        <w:t>upon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passage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publication.</w:t>
      </w:r>
    </w:p>
    <w:p>
      <w:pPr>
        <w:pStyle w:val="BodyText"/>
      </w:pPr>
    </w:p>
    <w:p>
      <w:pPr>
        <w:pStyle w:val="BodyText"/>
        <w:ind w:left="100"/>
      </w:pPr>
      <w:r>
        <w:rPr>
          <w:spacing w:val="-2"/>
        </w:rPr>
        <w:t>PASSED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ADOPTED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City</w:t>
      </w:r>
      <w:r>
        <w:rPr>
          <w:spacing w:val="-10"/>
        </w:rPr>
        <w:t> </w:t>
      </w:r>
      <w:r>
        <w:rPr>
          <w:spacing w:val="-2"/>
        </w:rPr>
        <w:t>Council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City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Cannon</w:t>
      </w:r>
      <w:r>
        <w:rPr>
          <w:spacing w:val="-10"/>
        </w:rPr>
        <w:t> </w:t>
      </w:r>
      <w:r>
        <w:rPr>
          <w:spacing w:val="-2"/>
        </w:rPr>
        <w:t>Falls,</w:t>
      </w:r>
      <w:r>
        <w:rPr>
          <w:spacing w:val="-12"/>
        </w:rPr>
        <w:t> </w:t>
      </w:r>
      <w:r>
        <w:rPr>
          <w:spacing w:val="-2"/>
        </w:rPr>
        <w:t>Minnesota,</w:t>
      </w:r>
      <w:r>
        <w:rPr>
          <w:spacing w:val="-13"/>
        </w:rPr>
        <w:t> </w:t>
      </w:r>
      <w:r>
        <w:rPr>
          <w:spacing w:val="-4"/>
        </w:rPr>
        <w:t>this</w:t>
      </w:r>
    </w:p>
    <w:p>
      <w:pPr>
        <w:pStyle w:val="BodyText"/>
        <w:tabs>
          <w:tab w:pos="860" w:val="left" w:leader="none"/>
          <w:tab w:pos="2558" w:val="left" w:leader="none"/>
        </w:tabs>
        <w:ind w:left="100"/>
      </w:pPr>
      <w:r>
        <w:rPr>
          <w:u w:val="single"/>
        </w:rPr>
        <w:tab/>
      </w:r>
      <w:r>
        <w:rPr/>
        <w:t>day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5"/>
        </w:rPr>
        <w:t> </w:t>
      </w:r>
      <w:r>
        <w:rPr>
          <w:spacing w:val="-4"/>
        </w:rPr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  <w:r>
        <w:rPr/>
        <w:pict>
          <v:shape style="position:absolute;margin-left:306.049988pt;margin-top:18.210905pt;width:205pt;height:.1pt;mso-position-horizontal-relative:page;mso-position-vertical-relative:paragraph;z-index:-15728640;mso-wrap-distance-left:0;mso-wrap-distance-right:0" id="docshape1" coordorigin="6121,364" coordsize="4100,0" path="m6121,364l10220,36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4421"/>
      </w:pPr>
      <w:r>
        <w:rPr>
          <w:spacing w:val="-4"/>
        </w:rPr>
        <w:t>Matt</w:t>
      </w:r>
      <w:r>
        <w:rPr>
          <w:spacing w:val="-1"/>
        </w:rPr>
        <w:t> </w:t>
      </w:r>
      <w:r>
        <w:rPr>
          <w:spacing w:val="-4"/>
        </w:rPr>
        <w:t>Montgomery,</w:t>
      </w:r>
      <w:r>
        <w:rPr>
          <w:spacing w:val="2"/>
        </w:rPr>
        <w:t> </w:t>
      </w:r>
      <w:r>
        <w:rPr>
          <w:spacing w:val="-4"/>
        </w:rPr>
        <w:t>Mayor</w:t>
      </w:r>
    </w:p>
    <w:p>
      <w:pPr>
        <w:pStyle w:val="BodyText"/>
        <w:ind w:left="100"/>
      </w:pPr>
      <w:r>
        <w:rPr>
          <w:spacing w:val="-2"/>
        </w:rPr>
        <w:t>ATTEST: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pict>
          <v:shape style="position:absolute;margin-left:90.024002pt;margin-top:15.863333pt;width:193.35pt;height:.1pt;mso-position-horizontal-relative:page;mso-position-vertical-relative:paragraph;z-index:-15728128;mso-wrap-distance-left:0;mso-wrap-distance-right:0" id="docshape2" coordorigin="1800,317" coordsize="3867,0" path="m1800,317l5667,31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100"/>
      </w:pPr>
      <w:r>
        <w:rPr>
          <w:spacing w:val="-2"/>
        </w:rPr>
        <w:t>Neil</w:t>
      </w:r>
      <w:r>
        <w:rPr>
          <w:spacing w:val="-9"/>
        </w:rPr>
        <w:t> </w:t>
      </w:r>
      <w:r>
        <w:rPr>
          <w:spacing w:val="-2"/>
        </w:rPr>
        <w:t>L.</w:t>
      </w:r>
      <w:r>
        <w:rPr>
          <w:spacing w:val="-11"/>
        </w:rPr>
        <w:t> </w:t>
      </w:r>
      <w:r>
        <w:rPr>
          <w:spacing w:val="-2"/>
        </w:rPr>
        <w:t>Jensen,</w:t>
      </w:r>
      <w:r>
        <w:rPr>
          <w:spacing w:val="-11"/>
        </w:rPr>
        <w:t> </w:t>
      </w:r>
      <w:r>
        <w:rPr>
          <w:spacing w:val="-2"/>
        </w:rPr>
        <w:t>City</w:t>
      </w:r>
      <w:r>
        <w:rPr>
          <w:spacing w:val="-8"/>
        </w:rPr>
        <w:t> </w:t>
      </w:r>
      <w:r>
        <w:rPr>
          <w:spacing w:val="-2"/>
        </w:rPr>
        <w:t>Administrator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93"/>
        <w:ind w:right="16"/>
        <w:jc w:val="center"/>
        <w:rPr>
          <w:rFonts w:ascii="Arial"/>
        </w:rPr>
      </w:pPr>
      <w:r>
        <w:rPr>
          <w:rFonts w:ascii="Arial"/>
          <w:w w:val="99"/>
        </w:rPr>
        <w:t>2</w:t>
      </w:r>
    </w:p>
    <w:sectPr>
      <w:pgSz w:w="12240" w:h="15840"/>
      <w:pgMar w:top="1360" w:bottom="28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2261" w:hanging="7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3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3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6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3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40" w:hanging="72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2023-04-18T23:38:18Z</dcterms:created>
  <dcterms:modified xsi:type="dcterms:W3CDTF">2023-04-18T23:38:18Z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PDFsam Basic v4.0.5</vt:lpwstr>
  </property>
  <property fmtid="{D5CDD505-2E9C-101B-9397-08002B2CF9AE}" pid="4" name="LastSaved">
    <vt:filetime>2023-04-18T00:00:00Z</vt:filetime>
  </property>
  <property fmtid="{D5CDD505-2E9C-101B-9397-08002B2CF9AE}" pid="5" name="Producer">
    <vt:lpwstr>SAMBox 1.1.55 (www.sejda.org)</vt:lpwstr>
  </property>
</Properties>
</file>