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Special Meeting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Thursday, </w:t>
      </w:r>
      <w:r w:rsidDel="00000000" w:rsidR="00000000" w:rsidRPr="00000000">
        <w:rPr>
          <w:b w:val="1"/>
          <w:rtl w:val="0"/>
        </w:rPr>
        <w:t xml:space="preserve">Apr 13,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3:30 p.m.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</w:t>
      </w:r>
      <w:r w:rsidDel="00000000" w:rsidR="00000000" w:rsidRPr="00000000">
        <w:rPr>
          <w:rtl w:val="0"/>
        </w:rPr>
        <w:t xml:space="preserve"> Dahl,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jc w:val="both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Approve WHKS Engineering Agreement for Hardwood Estates Pre-Plat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April 10,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1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918 River Road, Cannon Falls, MN * 55009 * 507-263-9312 * Fax:  507-263-5843</w:t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5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ltEylvcCdrcW/+L3/E39JbOm7w==">AMUW2mVXd91UTCaQ6/Za/m8msrtYfzMKfgUTED49TQcrrCIAcJzx2o/Oh2QxGF6dZQRW8PxvuvmpQxya8ZMfVvLGIq3ywneawCb3cX0iFJIHUKeqxySU1Aw=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