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May 4,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1.</w:t>
        <w:tab/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Cooreman, Dahl,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Dombeck</w:t>
      </w:r>
      <w:r w:rsidDel="00000000" w:rsidR="00000000" w:rsidRPr="00000000">
        <w:rPr>
          <w:rtl w:val="0"/>
        </w:rPr>
        <w:t xml:space="preserve">, Gesme, Montgomery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hanging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before="200" w:lineRule="auto"/>
        <w:ind w:left="1710" w:hanging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Approval of Minutes – </w:t>
      </w:r>
      <w:r w:rsidDel="00000000" w:rsidR="00000000" w:rsidRPr="00000000">
        <w:rPr>
          <w:rtl w:val="0"/>
        </w:rPr>
        <w:t xml:space="preserve">April 6 &amp; April 13</w:t>
      </w:r>
      <w:r w:rsidDel="00000000" w:rsidR="00000000" w:rsidRPr="00000000">
        <w:rPr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before="20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Financials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Loan Payments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Recalculate Tilion Interest Rate – (July 13, 2021)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before="20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EDA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Hardwood Estates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before="20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baseline"/>
          <w:rtl w:val="0"/>
        </w:rPr>
        <w:t xml:space="preserve">ther Business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Lodging Tax</w:t>
      </w:r>
    </w:p>
    <w:p w:rsidR="00000000" w:rsidDel="00000000" w:rsidP="00000000" w:rsidRDefault="00000000" w:rsidRPr="00000000" w14:paraId="0000001B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Blue Water Farms</w:t>
      </w:r>
    </w:p>
    <w:p w:rsidR="00000000" w:rsidDel="00000000" w:rsidP="00000000" w:rsidRDefault="00000000" w:rsidRPr="00000000" w14:paraId="0000001C">
      <w:pPr>
        <w:pageBreakBefore w:val="0"/>
        <w:numPr>
          <w:ilvl w:val="3"/>
          <w:numId w:val="1"/>
        </w:numPr>
        <w:ind w:left="333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City Lots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before="20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Upcoming Events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American Veteran Memorial Ribbon Cutting– May 14th at noon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F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CEDA Redevelopment Tour Filming May 16th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610" w:hanging="180"/>
        <w:jc w:val="both"/>
      </w:pPr>
      <w:r w:rsidDel="00000000" w:rsidR="00000000" w:rsidRPr="00000000">
        <w:rPr>
          <w:rtl w:val="0"/>
        </w:rPr>
        <w:t xml:space="preserve">National Dairy Council Visit June 14th</w:t>
      </w:r>
    </w:p>
    <w:p w:rsidR="00000000" w:rsidDel="00000000" w:rsidP="00000000" w:rsidRDefault="00000000" w:rsidRPr="00000000" w14:paraId="00000021">
      <w:pPr>
        <w:pageBreakBefore w:val="0"/>
        <w:numPr>
          <w:ilvl w:val="2"/>
          <w:numId w:val="1"/>
        </w:numPr>
        <w:ind w:left="2610" w:hanging="18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CEDA Annual Meeting June 27th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before="200" w:lineRule="auto"/>
        <w:ind w:left="1710" w:hanging="72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Next meeting: June 1st at 3:30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May 1st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TmrkKIcZsiTxe/cRXGtMYW3FGQ==">AMUW2mXZylb8r24Bz0QX8XqfKxp7yVBXsp/dPyFc+MdkGvtRx7AJWoEZPmbC6knJ7e1SOhdbVdOmbPKE0EmkfRTObqdsR2/ZIbo1E9kYm7TlPRxa4vA3UHE=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2020-10-07T20:46:00Z</dcterms:created>
  <dc:creator>Aaron Reeves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