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rtl w:val="0"/>
        </w:rPr>
        <w:t xml:space="preserve">January 6th,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Cooreman, Althoff, Dombeck</w:t>
      </w:r>
      <w:r w:rsidDel="00000000" w:rsidR="00000000" w:rsidRPr="00000000">
        <w:rPr>
          <w:sz w:val="22"/>
          <w:szCs w:val="22"/>
          <w:rtl w:val="0"/>
        </w:rPr>
        <w:t xml:space="preserve">, Montgomery, Dahl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710" w:hanging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Approval of Minutes 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December 2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i w:val="1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FEAST! Trade Show Sponsorship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710" w:hanging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Keller Baartman Update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710" w:hanging="72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Other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Personal Storage Condos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Strategic Planning Discussion (continued)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1E">
      <w:pPr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</w:p>
    <w:p w:rsidR="00000000" w:rsidDel="00000000" w:rsidP="00000000" w:rsidRDefault="00000000" w:rsidRPr="00000000" w14:paraId="0000001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February 3rd, 2022 at 3:30 p.m.</w:t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January 3rd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B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man Old Style" w:cs="Bookman Old Style" w:eastAsia="Bookman Old Style" w:hAnsi="Bookman Old Styl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rFonts w:ascii="Bookman Old Style" w:cs="Bookman Old Style" w:eastAsia="Bookman Old Style" w:hAnsi="Bookman Old Style"/>
        <w:sz w:val="18"/>
        <w:szCs w:val="18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   </w:t>
    </w:r>
    <w:r w:rsidDel="00000000" w:rsidR="00000000" w:rsidRPr="00000000">
      <w:rPr>
        <w:rFonts w:ascii="Bookman Old Style" w:cs="Bookman Old Style" w:eastAsia="Bookman Old Style" w:hAnsi="Bookman Old Style"/>
        <w:sz w:val="18"/>
        <w:szCs w:val="18"/>
        <w:rtl w:val="0"/>
      </w:rPr>
      <w:t xml:space="preserve"> 918 River Road, Cannon Falls, MN  55009 | 507-263-9312 | Fax:  507-263-5843 | www.cannonfallsmn.gov </w:t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4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33lfu95d3LS/47nsgQQreHnABw==">AMUW2mXNqT2O/cBvRePcmvyZh9wXdZdjjPFWv23phzmXb4r0B6SmlUYiKrZiZalG9v/1NOKLPz9Wt4UK/V7NhziScpMdFw7f8zQQ25OIxN4/E1GxGRls+1Y=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