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November 2, 2023 at 3:30 p.m. in the City Hall Conference Room for its regular meeting. EDA Board Members present were: Mayor Matt Montgomery, Luke Cooreman, Amy Dombeck, and Steve Gesme. Staff present were Neil Jensen, Zach Logelin and Laura Qualey. Guests were Diane Johnson, Supt. Sampson, and Rosie Schluter via ZOOM. Absent: Jon Dahl</w:t>
      </w:r>
    </w:p>
    <w:tbl>
      <w:tblPr>
        <w:tblStyle w:val="Table1"/>
        <w:tblW w:w="9795.0" w:type="dxa"/>
        <w:jc w:val="left"/>
        <w:tblInd w:w="243.0" w:type="dxa"/>
        <w:tblLayout w:type="fixed"/>
        <w:tblLook w:val="0000"/>
      </w:tblPr>
      <w:tblGrid>
        <w:gridCol w:w="1875"/>
        <w:gridCol w:w="7920"/>
        <w:tblGridChange w:id="0">
          <w:tblGrid>
            <w:gridCol w:w="1875"/>
            <w:gridCol w:w="7920"/>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rtl w:val="0"/>
              </w:rPr>
            </w:r>
          </w:p>
          <w:p w:rsidR="00000000" w:rsidDel="00000000" w:rsidP="00000000" w:rsidRDefault="00000000" w:rsidRPr="00000000" w14:paraId="00000006">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7">
            <w:pPr>
              <w:ind w:right="-85"/>
              <w:rPr>
                <w:sz w:val="22"/>
                <w:szCs w:val="22"/>
              </w:rPr>
            </w:pPr>
            <w:r w:rsidDel="00000000" w:rsidR="00000000" w:rsidRPr="00000000">
              <w:rPr>
                <w:rtl w:val="0"/>
              </w:rPr>
            </w:r>
          </w:p>
          <w:p w:rsidR="00000000" w:rsidDel="00000000" w:rsidP="00000000" w:rsidRDefault="00000000" w:rsidRPr="00000000" w14:paraId="00000008">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2E">
            <w:pPr>
              <w:ind w:right="-960"/>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 xml:space="preserve">Mayor Montgomery facilitated the meeting as VP of the EDA Board and called the meeting to order at 3:32 p.m. in the absence of Chairperson Dahl.</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sz w:val="22"/>
                <w:szCs w:val="22"/>
                <w:rtl w:val="0"/>
              </w:rPr>
              <w:t xml:space="preserve">Gesme motioned to approve the agenda; Cooreman seconded the motion; passed. </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Minutes from October 5, 2023 motioned to approve by Dombeck; seconded by Gesme; approved. </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ArtOrg’s payment was not made in October, otherwise all loan payments are current. $170,455.70 available in the Revolving Loan Fund. Raw Bistro was contacted to notify them of their loan payment recalculation as of January 2024. New payment will start Feb 2024.</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Hokanson’s have made 2nd payment of $3000 for leasing the Hardwood Estates property to farm this past year; interested in farming it again in 2024.</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sz w:val="22"/>
                <w:szCs w:val="22"/>
                <w:rtl w:val="0"/>
              </w:rPr>
              <w:t xml:space="preserve">Albrightson Excavating hopes to begin construction in a week or two and work as long as weather will allow.</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Maple Court and Maple Lane were the recommended street names for Hardwood Estates 2nd Subdivision (Phase 1) by the Housing Subcommittee; motion by Gesme to accept these two street names; seconded by Dombeck; motion passed. </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Covenants, Rules, &amp; Restrictions were reviewed that the subcommittee had come up with; barring some minor suggestions and changes, Cooreman made a motion to adopt the Covenants, Rules &amp; Restrictions with suggested changes; Gesme seconded; motion passed. </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Qualey sought quotes for signage to advertise the lots; $625/aluminum sign or $140 for plastic corrugated. Board decided to wait until Spring to decide.</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2024 CEDA Contract was on the table to renew for 3 days a week/24 hours/week; Cooreman motioned to approve contract for services; Dombeck seconded; motion passed.</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sz w:val="22"/>
                <w:szCs w:val="22"/>
                <w:rtl w:val="0"/>
              </w:rPr>
              <w:t xml:space="preserve">Strategic Planning and Goal Setting for 2024 will begin during the December 2023 meeting; Board decided to meet at 3 p.m. instead of 3:30 p.m. to allow for additional discussion time.</w:t>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sz w:val="22"/>
                <w:szCs w:val="22"/>
                <w:rtl w:val="0"/>
              </w:rPr>
              <w:t xml:space="preserve">Mayor attended President Biden’s visit in Northfield along with CF FFA Kids. </w:t>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NEXT MEETING: Thursday, December 6, 2023 at 3:00 p.m.</w:t>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sz w:val="22"/>
                <w:szCs w:val="22"/>
                <w:rtl w:val="0"/>
              </w:rPr>
              <w:t xml:space="preserve">Motion to adjourn by Montgomery; seconded by Dombeck unanimously approved. Adjourned at 4:26 p.m.</w:t>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sz w:val="22"/>
                <w:szCs w:val="22"/>
                <w:rtl w:val="0"/>
              </w:rPr>
              <w:t xml:space="preserve">Respectfully submitted by Laura Qualey.  Approved 12-7-23</w:t>
            </w:r>
          </w:p>
        </w:tc>
      </w:tr>
    </w:tbl>
    <w:p w:rsidR="00000000" w:rsidDel="00000000" w:rsidP="00000000" w:rsidRDefault="00000000" w:rsidRPr="00000000" w14:paraId="0000004C">
      <w:pPr>
        <w:ind w:left="0" w:firstLine="0"/>
        <w:rPr>
          <w:sz w:val="22"/>
          <w:szCs w:val="22"/>
        </w:rPr>
      </w:pPr>
      <w:r w:rsidDel="00000000" w:rsidR="00000000" w:rsidRPr="00000000">
        <w:rPr>
          <w:rtl w:val="0"/>
        </w:rPr>
      </w:r>
    </w:p>
    <w:sectPr>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5gnSCjb4feVrqEnqb/QGmEq6A==">CgMxLjA4AHIhMTRtZXdRTExfUWE0S2piRVU5S21tUHctNXpCQzdMdHV1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