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October 5,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September 7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3 &amp; September 28,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Review Revolving Loan Fund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Invoice to pay–Sievers Creative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Hardwood Estates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November 2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October 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4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INq2ePdtutGWJgBj37CWp1RHA==">CgMxLjA4AHIhMThZdjBkcUN6U3prSndxNEoyclNRR3NtanY4N1pNN2xz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