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AGENDA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SPECIAL MEETING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September 28,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</w:t>
      </w:r>
      <w:r w:rsidDel="00000000" w:rsidR="00000000" w:rsidRPr="00000000">
        <w:rPr>
          <w:b w:val="1"/>
          <w:sz w:val="22"/>
          <w:szCs w:val="22"/>
          <w:rtl w:val="0"/>
        </w:rPr>
        <w:t xml:space="preserve">USINESS</w:t>
      </w:r>
    </w:p>
    <w:p w:rsidR="00000000" w:rsidDel="00000000" w:rsidP="00000000" w:rsidRDefault="00000000" w:rsidRPr="00000000" w14:paraId="00000014">
      <w:pPr>
        <w:pageBreakBefore w:val="0"/>
        <w:ind w:firstLine="72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1440" w:hanging="360"/>
        <w:jc w:val="both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HARDWOOD ESTATES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September 19,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E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F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4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zrD4D9k3FTt6fxO+Rrtx/xMhw==">CgMxLjA4AHIhMVJlRVlJNnFsVmktQWpCdHk1V3FpYWlSX1N2ZkJjc3U3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