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2"/>
          <w:szCs w:val="22"/>
        </w:rPr>
      </w:pPr>
      <w:r w:rsidDel="00000000" w:rsidR="00000000" w:rsidRPr="00000000">
        <w:rPr>
          <w:sz w:val="22"/>
          <w:szCs w:val="22"/>
          <w:rtl w:val="0"/>
        </w:rPr>
        <w:t xml:space="preserve">The Cannon Falls Economic Development Authority (EDA) met on Thursday, January 4, 2024 at 3:00 p.m. in the City Hall Conference Room for its regular meeting. EDA Board Members present were: Mayor Matt Montgomery, Luke Cooreman, Steve Gesme, and Jon Dahl. Staff present were Neil Jensen, Zach Logelin and Laura Qualey. Guests were Diane Johnson, Supt. Sampson and Rosie Schluter (via ZOOM). Absent:Amy Dombeck</w:t>
      </w:r>
    </w:p>
    <w:tbl>
      <w:tblPr>
        <w:tblStyle w:val="Table1"/>
        <w:tblW w:w="9795.0" w:type="dxa"/>
        <w:jc w:val="left"/>
        <w:tblInd w:w="243.0" w:type="dxa"/>
        <w:tblLayout w:type="fixed"/>
        <w:tblLook w:val="0000"/>
      </w:tblPr>
      <w:tblGrid>
        <w:gridCol w:w="1665"/>
        <w:gridCol w:w="8130"/>
        <w:tblGridChange w:id="0">
          <w:tblGrid>
            <w:gridCol w:w="1665"/>
            <w:gridCol w:w="8130"/>
          </w:tblGrid>
        </w:tblGridChange>
      </w:tblGrid>
      <w:tr>
        <w:trPr>
          <w:cantSplit w:val="0"/>
          <w:trHeight w:val="10785" w:hRule="atLeast"/>
          <w:tblHeader w:val="0"/>
        </w:trPr>
        <w:tc>
          <w:tcPr/>
          <w:p w:rsidR="00000000" w:rsidDel="00000000" w:rsidP="00000000" w:rsidRDefault="00000000" w:rsidRPr="00000000" w14:paraId="00000002">
            <w:pPr>
              <w:ind w:right="-85"/>
              <w:rPr>
                <w:sz w:val="22"/>
                <w:szCs w:val="22"/>
              </w:rPr>
            </w:pPr>
            <w:r w:rsidDel="00000000" w:rsidR="00000000" w:rsidRPr="00000000">
              <w:rPr>
                <w:rtl w:val="0"/>
              </w:rPr>
            </w:r>
          </w:p>
          <w:p w:rsidR="00000000" w:rsidDel="00000000" w:rsidP="00000000" w:rsidRDefault="00000000" w:rsidRPr="00000000" w14:paraId="00000003">
            <w:pPr>
              <w:ind w:right="-85"/>
              <w:rPr>
                <w:sz w:val="22"/>
                <w:szCs w:val="22"/>
              </w:rPr>
            </w:pPr>
            <w:r w:rsidDel="00000000" w:rsidR="00000000" w:rsidRPr="00000000">
              <w:rPr>
                <w:sz w:val="22"/>
                <w:szCs w:val="22"/>
                <w:rtl w:val="0"/>
              </w:rPr>
              <w:t xml:space="preserve">Call to Order </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ind w:right="-85"/>
              <w:rPr>
                <w:sz w:val="22"/>
                <w:szCs w:val="22"/>
              </w:rPr>
            </w:pPr>
            <w:r w:rsidDel="00000000" w:rsidR="00000000" w:rsidRPr="00000000">
              <w:rPr>
                <w:rtl w:val="0"/>
              </w:rPr>
            </w:r>
          </w:p>
          <w:p w:rsidR="00000000" w:rsidDel="00000000" w:rsidP="00000000" w:rsidRDefault="00000000" w:rsidRPr="00000000" w14:paraId="00000006">
            <w:pPr>
              <w:ind w:right="-85"/>
              <w:rPr>
                <w:sz w:val="22"/>
                <w:szCs w:val="22"/>
              </w:rPr>
            </w:pPr>
            <w:r w:rsidDel="00000000" w:rsidR="00000000" w:rsidRPr="00000000">
              <w:rPr>
                <w:sz w:val="22"/>
                <w:szCs w:val="22"/>
                <w:rtl w:val="0"/>
              </w:rPr>
              <w:t xml:space="preserve">Approve Agenda</w:t>
            </w:r>
          </w:p>
          <w:p w:rsidR="00000000" w:rsidDel="00000000" w:rsidP="00000000" w:rsidRDefault="00000000" w:rsidRPr="00000000" w14:paraId="00000007">
            <w:pPr>
              <w:ind w:right="-85"/>
              <w:rPr>
                <w:sz w:val="22"/>
                <w:szCs w:val="22"/>
              </w:rPr>
            </w:pPr>
            <w:r w:rsidDel="00000000" w:rsidR="00000000" w:rsidRPr="00000000">
              <w:rPr>
                <w:rtl w:val="0"/>
              </w:rPr>
            </w:r>
          </w:p>
          <w:p w:rsidR="00000000" w:rsidDel="00000000" w:rsidP="00000000" w:rsidRDefault="00000000" w:rsidRPr="00000000" w14:paraId="00000008">
            <w:pPr>
              <w:ind w:right="-85"/>
              <w:rPr>
                <w:sz w:val="22"/>
                <w:szCs w:val="22"/>
              </w:rPr>
            </w:pPr>
            <w:r w:rsidDel="00000000" w:rsidR="00000000" w:rsidRPr="00000000">
              <w:rPr>
                <w:sz w:val="22"/>
                <w:szCs w:val="22"/>
                <w:rtl w:val="0"/>
              </w:rPr>
              <w:t xml:space="preserve">Approve Minutes</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Financials</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sz w:val="22"/>
                <w:szCs w:val="22"/>
                <w:rtl w:val="0"/>
              </w:rPr>
              <w:t xml:space="preserve">Hardwood Estates Updates:</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Goal Setting for 2024:</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Other Business:</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tl w:val="0"/>
              </w:rPr>
              <w:t xml:space="preserve">Adjourn</w:t>
            </w:r>
          </w:p>
        </w:tc>
        <w:tc>
          <w:tcPr>
            <w:shd w:fill="auto" w:val="clear"/>
          </w:tcPr>
          <w:p w:rsidR="00000000" w:rsidDel="00000000" w:rsidP="00000000" w:rsidRDefault="00000000" w:rsidRPr="00000000" w14:paraId="0000001F">
            <w:pPr>
              <w:ind w:right="-960"/>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Dahl called the EDA Board meeting to order at 3:31 p.m. Member Cooreman entered the meeting at 3:33p.m.</w:t>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Montgomery motioned to approve the agenda; Gesme seconded the motion; passed. </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sz w:val="22"/>
                <w:szCs w:val="22"/>
                <w:rtl w:val="0"/>
              </w:rPr>
              <w:t xml:space="preserve">Minutes from December 7, 2023 motioned to approve by Montgomery; seconded by Gesme; approved. </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sz w:val="22"/>
                <w:szCs w:val="22"/>
                <w:rtl w:val="0"/>
              </w:rPr>
              <w:t xml:space="preserve">Financial reports were reviewed. Payment to Mulvihill for Hardwood Estates property </w:t>
            </w:r>
          </w:p>
          <w:p w:rsidR="00000000" w:rsidDel="00000000" w:rsidP="00000000" w:rsidRDefault="00000000" w:rsidRPr="00000000" w14:paraId="00000027">
            <w:pPr>
              <w:rPr>
                <w:sz w:val="22"/>
                <w:szCs w:val="22"/>
              </w:rPr>
            </w:pPr>
            <w:r w:rsidDel="00000000" w:rsidR="00000000" w:rsidRPr="00000000">
              <w:rPr>
                <w:sz w:val="22"/>
                <w:szCs w:val="22"/>
                <w:rtl w:val="0"/>
              </w:rPr>
              <w:t xml:space="preserve">was made at the end of December.  </w:t>
            </w:r>
          </w:p>
          <w:p w:rsidR="00000000" w:rsidDel="00000000" w:rsidP="00000000" w:rsidRDefault="00000000" w:rsidRPr="00000000" w14:paraId="00000028">
            <w:pPr>
              <w:rPr>
                <w:sz w:val="22"/>
                <w:szCs w:val="22"/>
              </w:rPr>
            </w:pPr>
            <w:r w:rsidDel="00000000" w:rsidR="00000000" w:rsidRPr="00000000">
              <w:rPr>
                <w:sz w:val="22"/>
                <w:szCs w:val="22"/>
                <w:rtl w:val="0"/>
              </w:rPr>
              <w:t xml:space="preserve">Invoice for $125 for Sievers Creative which hosts the Cannon Roots website motion to approve by Gesme, second by Dahl; approved.</w:t>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sz w:val="22"/>
                <w:szCs w:val="22"/>
                <w:rtl w:val="0"/>
              </w:rPr>
              <w:t xml:space="preserve">Sewer/water services were installed and will finish up at the end of the week and then will most likely be done working for the season. Installing silt fencing along 71st Ave before finishing up for the season.</w:t>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sz w:val="22"/>
                <w:szCs w:val="22"/>
                <w:rtl w:val="0"/>
              </w:rPr>
              <w:t xml:space="preserve">Qualey spoke with WHKS and the plat should be recorded before the end of February. Cooreman mentioned that the development is generating a lot of chatter (in a good way.) 1 lot has been spoken for/deposit received until an official Purchase Agreement can be executed.</w:t>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sz w:val="22"/>
                <w:szCs w:val="22"/>
                <w:rtl w:val="0"/>
              </w:rPr>
              <w:t xml:space="preserve">Board thought focusing on the large employers in the community would be a good area of focus for the year and building relationships. Qualey will reach out to the HR directors and the Chamber Director to create a schedule of site visits.</w:t>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Mayor, Neil and Qualey will be giving a ‘State of the City’ presentation at the Chamber Breakfast on Wednesday, February 14th at City Hall at 7:30 a.m</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NEXT MEETING: Thursday, February 1, 2024 at 3:30 p.m.</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sz w:val="22"/>
                <w:szCs w:val="22"/>
                <w:rtl w:val="0"/>
              </w:rPr>
              <w:t xml:space="preserve">Motion to adjourn by Montgomery; seconded by Cooreman unanimously approved. Adjourned at 4:38 p.m.</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Respectfully submitted by Laura Qualey.</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tc>
      </w:tr>
    </w:tbl>
    <w:p w:rsidR="00000000" w:rsidDel="00000000" w:rsidP="00000000" w:rsidRDefault="00000000" w:rsidRPr="00000000" w14:paraId="00000039">
      <w:pPr>
        <w:ind w:left="0" w:firstLine="0"/>
        <w:rPr>
          <w:sz w:val="22"/>
          <w:szCs w:val="22"/>
        </w:rPr>
      </w:pPr>
      <w:r w:rsidDel="00000000" w:rsidR="00000000" w:rsidRPr="00000000">
        <w:rPr>
          <w:rtl w:val="0"/>
        </w:rPr>
      </w:r>
    </w:p>
    <w:sectPr>
      <w:pgSz w:h="15840" w:w="12240" w:orient="portrait"/>
      <w:pgMar w:bottom="1008"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IwABAwH3CxJjfPM1aOlous552g==">CgMxLjA4AHIhMWFXU0NYTVYyY1NhZ2Y3dVhueXhQOGY4THlab0YwRXJC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