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May 2,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Minutes – </w:t>
      </w:r>
      <w:r w:rsidDel="00000000" w:rsidR="00000000" w:rsidRPr="00000000">
        <w:rPr>
          <w:sz w:val="22"/>
          <w:szCs w:val="22"/>
          <w:rtl w:val="0"/>
        </w:rPr>
        <w:t xml:space="preserve">April 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spacing w:after="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pageBreakBefore w:val="0"/>
        <w:widowControl w:val="0"/>
        <w:numPr>
          <w:ilvl w:val="2"/>
          <w:numId w:val="1"/>
        </w:numPr>
        <w:spacing w:after="200"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Reports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Update</w:t>
      </w:r>
    </w:p>
    <w:p w:rsidR="00000000" w:rsidDel="00000000" w:rsidP="00000000" w:rsidRDefault="00000000" w:rsidRPr="00000000" w14:paraId="00000018">
      <w:pPr>
        <w:keepLines w:val="1"/>
        <w:numPr>
          <w:ilvl w:val="2"/>
          <w:numId w:val="1"/>
        </w:numPr>
        <w:spacing w:after="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Purchase Agreement – Fieldstone</w:t>
      </w:r>
    </w:p>
    <w:p w:rsidR="00000000" w:rsidDel="00000000" w:rsidP="00000000" w:rsidRDefault="00000000" w:rsidRPr="00000000" w14:paraId="00000019">
      <w:pPr>
        <w:keepLines w:val="1"/>
        <w:numPr>
          <w:ilvl w:val="2"/>
          <w:numId w:val="1"/>
        </w:numPr>
        <w:spacing w:after="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 Public Hearing for Land Sale – Fieldstone</w:t>
      </w:r>
    </w:p>
    <w:p w:rsidR="00000000" w:rsidDel="00000000" w:rsidP="00000000" w:rsidRDefault="00000000" w:rsidRPr="00000000" w14:paraId="0000001A">
      <w:pPr>
        <w:keepLines w:val="1"/>
        <w:numPr>
          <w:ilvl w:val="2"/>
          <w:numId w:val="1"/>
        </w:numPr>
        <w:spacing w:after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Early Model Agreement Review – Fieldstone</w:t>
      </w:r>
    </w:p>
    <w:p w:rsidR="00000000" w:rsidDel="00000000" w:rsidP="00000000" w:rsidRDefault="00000000" w:rsidRPr="00000000" w14:paraId="0000001B">
      <w:pPr>
        <w:pageBreakBefore w:val="0"/>
        <w:ind w:left="3330" w:firstLine="0"/>
        <w:jc w:val="both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Business Visit– Amesbury Truth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Progressive Rail – Letter of Support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CEDA Annual Meeting – May 15, 2024 Blue Earth 10 a.m.- 1 p.m.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June 6, 2024 at 3:30 p.m.</w:t>
      </w:r>
    </w:p>
    <w:p w:rsidR="00000000" w:rsidDel="00000000" w:rsidP="00000000" w:rsidRDefault="00000000" w:rsidRPr="00000000" w14:paraId="00000021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April 25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yWmPP5hFTofoX5J0/OYgpNUcg==">CgMxLjA4AHIhMWlOQ3R6MXFHbDRwSVd2S3ZwMkMwTkVrblQ4NU96dzRj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