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September 5,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 Meeting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E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jc w:val="both"/>
        <w:rPr/>
      </w:pPr>
      <w:bookmarkStart w:colFirst="0" w:colLast="0" w:name="_heading=h.4t6pu9rg0bry" w:id="0"/>
      <w:bookmarkEnd w:id="0"/>
      <w:r w:rsidDel="00000000" w:rsidR="00000000" w:rsidRPr="00000000">
        <w:rPr>
          <w:sz w:val="22"/>
          <w:szCs w:val="22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rtl w:val="0"/>
        </w:rPr>
        <w:t xml:space="preserve"> Cooreman, Dahl, Dombeck, Gesme, Montgomery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Minutes – August 1,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Approval of Purchase Agreement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333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Lot 11– Fieldstone Family Homes</w:t>
      </w:r>
    </w:p>
    <w:p w:rsidR="00000000" w:rsidDel="00000000" w:rsidP="00000000" w:rsidRDefault="00000000" w:rsidRPr="00000000" w14:paraId="00000019">
      <w:pPr>
        <w:numPr>
          <w:ilvl w:val="4"/>
          <w:numId w:val="1"/>
        </w:numPr>
        <w:ind w:left="405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Set Public Hearing for Remaining Lots in H.E. for Sept. 23rd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before="20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Public Hearing for Land Sales</w:t>
      </w:r>
    </w:p>
    <w:p w:rsidR="00000000" w:rsidDel="00000000" w:rsidP="00000000" w:rsidRDefault="00000000" w:rsidRPr="00000000" w14:paraId="0000001B">
      <w:pPr>
        <w:numPr>
          <w:ilvl w:val="4"/>
          <w:numId w:val="1"/>
        </w:numPr>
        <w:ind w:left="405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Approve Resolution 2024-004 Sale of Real Property Lot 15</w:t>
      </w:r>
    </w:p>
    <w:p w:rsidR="00000000" w:rsidDel="00000000" w:rsidP="00000000" w:rsidRDefault="00000000" w:rsidRPr="00000000" w14:paraId="0000001C">
      <w:pPr>
        <w:numPr>
          <w:ilvl w:val="4"/>
          <w:numId w:val="1"/>
        </w:numPr>
        <w:spacing w:after="200" w:lineRule="auto"/>
        <w:ind w:left="4050" w:hanging="36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Approve Resolution 2024-005 Sale of Real Property Lots 21 &amp; 22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20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Construction Update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710" w:hanging="72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</w:p>
    <w:p w:rsidR="00000000" w:rsidDel="00000000" w:rsidP="00000000" w:rsidRDefault="00000000" w:rsidRPr="00000000" w14:paraId="0000001F">
      <w:pPr>
        <w:widowControl w:val="0"/>
        <w:numPr>
          <w:ilvl w:val="2"/>
          <w:numId w:val="1"/>
        </w:numPr>
        <w:spacing w:after="200" w:lineRule="auto"/>
        <w:ind w:left="2610" w:hanging="18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Business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October 3 , 2024 at 3:30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</w:t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August 28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RK4py6CsKCLT7QDiFrbOFzSzPA==">CgMxLjAyDmguNHQ2cHU5cmcwYnJ5OAByITF0bE5rVFVEYWVOeUVxTWhIOHF1SjA3WjgzMmFaT2xweA==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